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EC6" w:rsidRPr="00195EC6" w:rsidRDefault="00195EC6" w:rsidP="00195EC6">
      <w:pPr>
        <w:pStyle w:val="NormalWeb"/>
        <w:spacing w:before="0" w:beforeAutospacing="0" w:after="0" w:afterAutospacing="0" w:line="234" w:lineRule="atLeast"/>
        <w:jc w:val="center"/>
        <w:rPr>
          <w:color w:val="000000"/>
          <w:sz w:val="26"/>
          <w:szCs w:val="26"/>
        </w:rPr>
      </w:pPr>
      <w:bookmarkStart w:id="0" w:name="chuong_pl_6"/>
      <w:r w:rsidRPr="00195EC6">
        <w:rPr>
          <w:rStyle w:val="Strong"/>
          <w:color w:val="000000"/>
          <w:sz w:val="26"/>
          <w:szCs w:val="26"/>
        </w:rPr>
        <w:t>PHỤ LỤC Va</w:t>
      </w:r>
      <w:bookmarkEnd w:id="0"/>
    </w:p>
    <w:p w:rsidR="00195EC6" w:rsidRPr="00195EC6" w:rsidRDefault="00195EC6" w:rsidP="00195EC6">
      <w:pPr>
        <w:pStyle w:val="NormalWeb"/>
        <w:spacing w:before="0" w:beforeAutospacing="0" w:after="0" w:afterAutospacing="0" w:line="234" w:lineRule="atLeast"/>
        <w:jc w:val="center"/>
        <w:rPr>
          <w:color w:val="000000"/>
          <w:sz w:val="26"/>
          <w:szCs w:val="26"/>
        </w:rPr>
      </w:pPr>
      <w:bookmarkStart w:id="1" w:name="chuong_pl_6_name"/>
      <w:r w:rsidRPr="00195EC6">
        <w:rPr>
          <w:rStyle w:val="Strong"/>
          <w:b w:val="0"/>
          <w:bCs w:val="0"/>
          <w:color w:val="000000"/>
          <w:sz w:val="26"/>
          <w:szCs w:val="26"/>
        </w:rPr>
        <w:t>DANH MỤC DỰ ÁN, CÔNG TRÌNH THUỘC THẨM QUYỀN THẨM DUYỆT THIẾT KẾ VỀ PHÒNG CHÁY VÀ CHỮA CHÁY CỦA CỤC CẢNH SÁT PHÒNG CHÁY CHỮA CHÁY VÀ CỨU NẠN, CỨU HỘ</w:t>
      </w:r>
      <w:bookmarkEnd w:id="1"/>
      <w:r w:rsidRPr="00195EC6">
        <w:rPr>
          <w:b/>
          <w:bCs/>
          <w:color w:val="000000"/>
          <w:sz w:val="26"/>
          <w:szCs w:val="26"/>
        </w:rPr>
        <w:br/>
      </w:r>
      <w:r w:rsidRPr="00195EC6">
        <w:rPr>
          <w:i/>
          <w:iCs/>
          <w:color w:val="000000"/>
          <w:sz w:val="26"/>
          <w:szCs w:val="26"/>
        </w:rPr>
        <w:t>(Kèm theo Nghị định số 50/2024/NĐ-CP ngày 10 tháng 5 năm 2024 của Chính phủ)</w:t>
      </w:r>
    </w:p>
    <w:p w:rsidR="00195EC6" w:rsidRPr="00195EC6" w:rsidRDefault="00195EC6" w:rsidP="00195EC6">
      <w:pPr>
        <w:pStyle w:val="NormalWeb"/>
        <w:spacing w:before="120" w:beforeAutospacing="0" w:after="0" w:afterAutospacing="0" w:line="234" w:lineRule="atLeast"/>
        <w:rPr>
          <w:color w:val="000000"/>
          <w:sz w:val="26"/>
          <w:szCs w:val="26"/>
        </w:rPr>
      </w:pPr>
      <w:r w:rsidRPr="00195EC6">
        <w:rPr>
          <w:color w:val="000000"/>
          <w:sz w:val="26"/>
          <w:szCs w:val="26"/>
        </w:rPr>
        <w:t>1. Nhà có chiều cao trên 150 m.</w:t>
      </w:r>
    </w:p>
    <w:p w:rsidR="00195EC6" w:rsidRPr="00195EC6" w:rsidRDefault="00195EC6" w:rsidP="00195EC6">
      <w:pPr>
        <w:pStyle w:val="NormalWeb"/>
        <w:spacing w:before="120" w:beforeAutospacing="0" w:after="0" w:afterAutospacing="0" w:line="234" w:lineRule="atLeast"/>
        <w:rPr>
          <w:color w:val="000000"/>
          <w:sz w:val="26"/>
          <w:szCs w:val="26"/>
        </w:rPr>
      </w:pPr>
      <w:r w:rsidRPr="00195EC6">
        <w:rPr>
          <w:color w:val="000000"/>
          <w:sz w:val="26"/>
          <w:szCs w:val="26"/>
        </w:rPr>
        <w:t>2. Công trình xây dựng trên</w:t>
      </w:r>
      <w:bookmarkStart w:id="2" w:name="_GoBack"/>
      <w:bookmarkEnd w:id="2"/>
      <w:r w:rsidRPr="00195EC6">
        <w:rPr>
          <w:color w:val="000000"/>
          <w:sz w:val="26"/>
          <w:szCs w:val="26"/>
        </w:rPr>
        <w:t xml:space="preserve"> địa bàn hành chính từ 02 tỉnh, thành phố trực thuộc trung ương trở lên, trừ các cơ sở quốc phòng hoạt động phục vụ mục đích quân sự.</w:t>
      </w:r>
    </w:p>
    <w:p w:rsidR="00195EC6" w:rsidRPr="00195EC6" w:rsidRDefault="00195EC6" w:rsidP="00195EC6">
      <w:pPr>
        <w:pStyle w:val="NormalWeb"/>
        <w:spacing w:before="120" w:beforeAutospacing="0" w:after="0" w:afterAutospacing="0" w:line="234" w:lineRule="atLeast"/>
        <w:rPr>
          <w:color w:val="000000"/>
          <w:sz w:val="26"/>
          <w:szCs w:val="26"/>
        </w:rPr>
      </w:pPr>
      <w:r w:rsidRPr="00195EC6">
        <w:rPr>
          <w:color w:val="000000"/>
          <w:sz w:val="26"/>
          <w:szCs w:val="26"/>
        </w:rPr>
        <w:t>3. Dự án quan trọng quốc gia; Nhà Quốc hội, Phủ Chủ tịch, Trụ sở Chính phủ, Trụ sở Trung ương Đảng; nhà làm việc của cơ quan công an cấp Trung ương.</w:t>
      </w:r>
    </w:p>
    <w:p w:rsidR="00195EC6" w:rsidRPr="00195EC6" w:rsidRDefault="00195EC6" w:rsidP="00195EC6">
      <w:pPr>
        <w:pStyle w:val="NormalWeb"/>
        <w:spacing w:before="120" w:beforeAutospacing="0" w:after="0" w:afterAutospacing="0" w:line="234" w:lineRule="atLeast"/>
        <w:rPr>
          <w:color w:val="000000"/>
          <w:sz w:val="26"/>
          <w:szCs w:val="26"/>
        </w:rPr>
      </w:pPr>
      <w:r w:rsidRPr="00195EC6">
        <w:rPr>
          <w:color w:val="000000"/>
          <w:sz w:val="26"/>
          <w:szCs w:val="26"/>
        </w:rPr>
        <w:t>4. Dự án không phân biệt nguồn vốn đầu tư đáp ứng tiêu chí phân loại dự án nhóm A theo quy định của pháp luật về đầu tư công (trừ các dự án đầu tư xây dựng sử dụng ngân sách nhà nước do cấp tỉnh là chủ đầu tư) có công trình thuộc một trong các trường hợp sau:</w:t>
      </w:r>
    </w:p>
    <w:p w:rsidR="00195EC6" w:rsidRPr="00195EC6" w:rsidRDefault="00195EC6" w:rsidP="00195EC6">
      <w:pPr>
        <w:pStyle w:val="NormalWeb"/>
        <w:spacing w:before="120" w:beforeAutospacing="0" w:after="0" w:afterAutospacing="0" w:line="234" w:lineRule="atLeast"/>
        <w:rPr>
          <w:color w:val="000000"/>
          <w:sz w:val="26"/>
          <w:szCs w:val="26"/>
        </w:rPr>
      </w:pPr>
      <w:r w:rsidRPr="00195EC6">
        <w:rPr>
          <w:color w:val="000000"/>
          <w:sz w:val="26"/>
          <w:szCs w:val="26"/>
        </w:rPr>
        <w:t>a) Trung tâm thương mại có tổng diện tích sàn trên 30.000 m</w:t>
      </w:r>
      <w:r w:rsidRPr="00195EC6">
        <w:rPr>
          <w:color w:val="000000"/>
          <w:sz w:val="26"/>
          <w:szCs w:val="26"/>
          <w:vertAlign w:val="superscript"/>
        </w:rPr>
        <w:t>2</w:t>
      </w:r>
      <w:r w:rsidRPr="00195EC6">
        <w:rPr>
          <w:color w:val="000000"/>
          <w:sz w:val="26"/>
          <w:szCs w:val="26"/>
        </w:rPr>
        <w:t>.</w:t>
      </w:r>
    </w:p>
    <w:p w:rsidR="00195EC6" w:rsidRPr="00195EC6" w:rsidRDefault="00195EC6" w:rsidP="00195EC6">
      <w:pPr>
        <w:pStyle w:val="NormalWeb"/>
        <w:spacing w:before="120" w:beforeAutospacing="0" w:after="0" w:afterAutospacing="0" w:line="234" w:lineRule="atLeast"/>
        <w:rPr>
          <w:color w:val="000000"/>
          <w:sz w:val="26"/>
          <w:szCs w:val="26"/>
        </w:rPr>
      </w:pPr>
      <w:r w:rsidRPr="00195EC6">
        <w:rPr>
          <w:color w:val="000000"/>
          <w:sz w:val="26"/>
          <w:szCs w:val="26"/>
        </w:rPr>
        <w:t>b) Nhà cao từ 25 tầng trở lên: nhà làm việc của doanh nghiệp, tổ chức chính trị, xã hội, nhà chung cư, nhà tập thể, nhà ở ký túc xá, nhà hỗn hợp, khách sạn, nhà khách, nhà nghỉ, nhà của cơ sở bưu điện, cơ sở viễn thông, trung tâm lưu trữ, quản lý dữ liệu, cơ sở phát thanh, truyền hình.</w:t>
      </w:r>
    </w:p>
    <w:p w:rsidR="00195EC6" w:rsidRPr="00195EC6" w:rsidRDefault="00195EC6" w:rsidP="00195EC6">
      <w:pPr>
        <w:pStyle w:val="NormalWeb"/>
        <w:spacing w:before="120" w:beforeAutospacing="0" w:after="0" w:afterAutospacing="0" w:line="234" w:lineRule="atLeast"/>
        <w:rPr>
          <w:color w:val="000000"/>
          <w:sz w:val="26"/>
          <w:szCs w:val="26"/>
        </w:rPr>
      </w:pPr>
      <w:r w:rsidRPr="00195EC6">
        <w:rPr>
          <w:color w:val="000000"/>
          <w:sz w:val="26"/>
          <w:szCs w:val="26"/>
        </w:rPr>
        <w:t>c) Cảng hàng không, công trình tàu điện ngầm.</w:t>
      </w:r>
    </w:p>
    <w:p w:rsidR="00195EC6" w:rsidRPr="00195EC6" w:rsidRDefault="00195EC6" w:rsidP="00195EC6">
      <w:pPr>
        <w:pStyle w:val="NormalWeb"/>
        <w:spacing w:before="120" w:beforeAutospacing="0" w:after="0" w:afterAutospacing="0" w:line="234" w:lineRule="atLeast"/>
        <w:rPr>
          <w:color w:val="000000"/>
          <w:sz w:val="26"/>
          <w:szCs w:val="26"/>
        </w:rPr>
      </w:pPr>
      <w:r w:rsidRPr="00195EC6">
        <w:rPr>
          <w:color w:val="000000"/>
          <w:sz w:val="26"/>
          <w:szCs w:val="26"/>
        </w:rPr>
        <w:t>d) Cơ sở hạt nhân; cơ sở sản xuất vật liệu nổ công nghiệp và tiền chất thuốc nổ.</w:t>
      </w:r>
    </w:p>
    <w:p w:rsidR="00195EC6" w:rsidRPr="00195EC6" w:rsidRDefault="00195EC6" w:rsidP="00195EC6">
      <w:pPr>
        <w:pStyle w:val="NormalWeb"/>
        <w:spacing w:before="120" w:beforeAutospacing="0" w:after="0" w:afterAutospacing="0" w:line="234" w:lineRule="atLeast"/>
        <w:rPr>
          <w:color w:val="000000"/>
          <w:sz w:val="26"/>
          <w:szCs w:val="26"/>
        </w:rPr>
      </w:pPr>
      <w:r w:rsidRPr="00195EC6">
        <w:rPr>
          <w:color w:val="000000"/>
          <w:sz w:val="26"/>
          <w:szCs w:val="26"/>
        </w:rPr>
        <w:t>đ) Nhà máy lọc dầu; nhà máy chế biến khí; nhà máy sản xuất nhiên liệu sinh học có tổng công suất trên 500.000 tấn sản phẩm/năm; kho xăng dầu có tổng dung tích chứa trên 100.000 m</w:t>
      </w:r>
      <w:r w:rsidRPr="00195EC6">
        <w:rPr>
          <w:color w:val="000000"/>
          <w:sz w:val="26"/>
          <w:szCs w:val="26"/>
          <w:vertAlign w:val="superscript"/>
        </w:rPr>
        <w:t>3</w:t>
      </w:r>
      <w:r w:rsidRPr="00195EC6">
        <w:rPr>
          <w:color w:val="000000"/>
          <w:sz w:val="26"/>
          <w:szCs w:val="26"/>
        </w:rPr>
        <w:t>; kho chứa khí hóa lỏng có tổng dung tích chứa trên 100.000 m</w:t>
      </w:r>
      <w:r w:rsidRPr="00195EC6">
        <w:rPr>
          <w:color w:val="000000"/>
          <w:sz w:val="26"/>
          <w:szCs w:val="26"/>
          <w:vertAlign w:val="superscript"/>
        </w:rPr>
        <w:t>3</w:t>
      </w:r>
      <w:r w:rsidRPr="00195EC6">
        <w:rPr>
          <w:color w:val="000000"/>
          <w:sz w:val="26"/>
          <w:szCs w:val="26"/>
        </w:rPr>
        <w:t>.</w:t>
      </w:r>
    </w:p>
    <w:p w:rsidR="00195EC6" w:rsidRPr="00195EC6" w:rsidRDefault="00195EC6" w:rsidP="00195EC6">
      <w:pPr>
        <w:pStyle w:val="NormalWeb"/>
        <w:spacing w:before="120" w:beforeAutospacing="0" w:after="0" w:afterAutospacing="0" w:line="234" w:lineRule="atLeast"/>
        <w:rPr>
          <w:color w:val="000000"/>
          <w:sz w:val="26"/>
          <w:szCs w:val="26"/>
        </w:rPr>
      </w:pPr>
      <w:r w:rsidRPr="00195EC6">
        <w:rPr>
          <w:color w:val="000000"/>
          <w:sz w:val="26"/>
          <w:szCs w:val="26"/>
        </w:rPr>
        <w:t>e) Khu liên hợp gang thép có dung tích lò cao trên 1.000 m</w:t>
      </w:r>
      <w:r w:rsidRPr="00195EC6">
        <w:rPr>
          <w:color w:val="000000"/>
          <w:sz w:val="26"/>
          <w:szCs w:val="26"/>
          <w:vertAlign w:val="superscript"/>
        </w:rPr>
        <w:t>3</w:t>
      </w:r>
      <w:r w:rsidRPr="00195EC6">
        <w:rPr>
          <w:color w:val="000000"/>
          <w:sz w:val="26"/>
          <w:szCs w:val="26"/>
        </w:rPr>
        <w:t>; nhà máy in tiền; nhà máy sản xuất, lắp ráp ô tô có tổng sản lượng trên 10.000 xe/năm; nhà máy sản xuất, lắp ráp xe máy có tổng sản lượng trên 500.000 xe/năm; nhà máy sản xuất hóa chất cơ bản, hóa chất nguy hiểm độc hại, hóa chất vô cơ, hữu cơ, hóa chất công nghiệp khác có tổng sản lượng từ 10.000 tấn/năm trở lên; nhà máy sản xuất, kho trạm chiết nạp sản phẩm hóa dầu có tổng sản lượng từ 50.000 tấn/năm trở lên; nhà máy sản xuất pin hóa học có tổng sản lượng trên 250 triệu viên/năm; nhà máy sản xuất, tái chế ắc quy có tổng sản lượng trên 300.000 KWh/năm; nhà máy sản xuất săm, lốp ô tô, máy kéo có tổng sản lượng trên 1 triệu chiếc/năm; nhà máy sản xuất sơn có tổng sản lượng trên 100.000 tấn/năm; nhà máy bột giấy và giấy có tổng sản lượng trên 100.000 tấn sản phẩm/năm; nhà máy sản xuất thuốc lá có tổng sản lượng trên 200 triệu bao thuốc lá/năm; nhà máy sản xuất/lắp ráp điện tử (điện lạnh có tổng sản lượng trên 300.000 sản phẩm/năm; nhà máy chế tạo linh kiện, phụ tùng thông tin và điện tử có tổng sản lượng trên 400 triệu sản phẩm/năm).</w:t>
      </w:r>
    </w:p>
    <w:p w:rsidR="00195EC6" w:rsidRPr="00195EC6" w:rsidRDefault="00195EC6" w:rsidP="00195EC6">
      <w:pPr>
        <w:pStyle w:val="NormalWeb"/>
        <w:spacing w:before="120" w:beforeAutospacing="0" w:after="0" w:afterAutospacing="0" w:line="234" w:lineRule="atLeast"/>
        <w:rPr>
          <w:color w:val="000000"/>
          <w:sz w:val="26"/>
          <w:szCs w:val="26"/>
        </w:rPr>
      </w:pPr>
      <w:r w:rsidRPr="00195EC6">
        <w:rPr>
          <w:color w:val="000000"/>
          <w:sz w:val="26"/>
          <w:szCs w:val="26"/>
        </w:rPr>
        <w:t>g) Công trình nhiệt điện có tổng công suất từ 600 MW trở lên; công trình thuỷ điện có tổng công suất trên 1.000 MW; công trình điện rác có tổng công suất trên 70 MW; trạm biến áp điện áp từ 500 kV trở lên.</w:t>
      </w:r>
    </w:p>
    <w:p w:rsidR="00195EC6" w:rsidRPr="00195EC6" w:rsidRDefault="00195EC6" w:rsidP="00195EC6">
      <w:pPr>
        <w:pStyle w:val="NormalWeb"/>
        <w:spacing w:before="120" w:beforeAutospacing="0" w:after="0" w:afterAutospacing="0" w:line="234" w:lineRule="atLeast"/>
        <w:rPr>
          <w:color w:val="000000"/>
          <w:sz w:val="26"/>
          <w:szCs w:val="26"/>
        </w:rPr>
      </w:pPr>
      <w:r w:rsidRPr="00195EC6">
        <w:rPr>
          <w:color w:val="000000"/>
          <w:sz w:val="26"/>
          <w:szCs w:val="26"/>
        </w:rPr>
        <w:lastRenderedPageBreak/>
        <w:t>h) Công trình hạ tầng kỹ thuật có liên quan đến phòng cháy và chữa cháy của khu công nghiệp có diện tích từ 500 ha trở lên.</w:t>
      </w:r>
    </w:p>
    <w:p w:rsidR="00B92865" w:rsidRPr="00195EC6" w:rsidRDefault="00B92865">
      <w:pPr>
        <w:rPr>
          <w:rFonts w:ascii="Times New Roman" w:hAnsi="Times New Roman" w:cs="Times New Roman"/>
          <w:sz w:val="26"/>
          <w:szCs w:val="26"/>
        </w:rPr>
      </w:pPr>
    </w:p>
    <w:sectPr w:rsidR="00B92865" w:rsidRPr="00195EC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C6"/>
    <w:rsid w:val="00195EC6"/>
    <w:rsid w:val="00B928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05E1B-BDA4-44E2-84E4-7828C7A8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5EC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95E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7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2024-05-16T02:08:00Z</dcterms:created>
  <dcterms:modified xsi:type="dcterms:W3CDTF">2024-05-16T02:08:00Z</dcterms:modified>
</cp:coreProperties>
</file>